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55E0E">
      <w:pPr>
        <w:spacing w:before="100" w:beforeAutospacing="1" w:after="100" w:afterAutospacing="1"/>
        <w:jc w:val="center"/>
        <w:outlineLvl w:val="0"/>
        <w:rPr>
          <w:rFonts w:ascii="Times New Roman" w:hAnsi="Times New Roman" w:eastAsia="Times New Roman" w:cs="Times New Roman"/>
          <w:b/>
          <w:bCs/>
          <w:color w:val="000000" w:themeColor="text1"/>
          <w:kern w:val="36"/>
          <w:sz w:val="40"/>
          <w:szCs w:val="40"/>
          <w:lang w:eastAsia="ru-RU"/>
          <w14:textFill>
            <w14:solidFill>
              <w14:schemeClr w14:val="tx1"/>
            </w14:solidFill>
          </w14:textFill>
        </w:rPr>
      </w:pPr>
      <w:r>
        <w:rPr>
          <w:rFonts w:ascii="Times New Roman" w:hAnsi="Times New Roman" w:eastAsia="Times New Roman" w:cs="Times New Roman"/>
          <w:b/>
          <w:bCs/>
          <w:color w:val="000000" w:themeColor="text1"/>
          <w:kern w:val="36"/>
          <w:sz w:val="40"/>
          <w:szCs w:val="40"/>
          <w:lang w:eastAsia="ru-RU"/>
          <w14:textFill>
            <w14:solidFill>
              <w14:schemeClr w14:val="tx1"/>
            </w14:solidFill>
          </w14:textFill>
        </w:rPr>
        <w:t xml:space="preserve">Консультация для родителей </w:t>
      </w:r>
    </w:p>
    <w:p w14:paraId="02469CB1">
      <w:pPr>
        <w:spacing w:before="100" w:beforeAutospacing="1" w:after="100" w:afterAutospacing="1"/>
        <w:jc w:val="center"/>
        <w:outlineLvl w:val="0"/>
        <w:rPr>
          <w:rFonts w:hint="default" w:ascii="Times New Roman" w:hAnsi="Times New Roman" w:eastAsia="Times New Roman" w:cs="Times New Roman"/>
          <w:color w:val="000000" w:themeColor="text1"/>
          <w:sz w:val="20"/>
          <w:szCs w:val="20"/>
          <w:lang w:val="en-US" w:eastAsia="ru-RU"/>
          <w14:textFill>
            <w14:solidFill>
              <w14:schemeClr w14:val="tx1"/>
            </w14:solidFill>
          </w14:textFill>
        </w:rPr>
      </w:pPr>
      <w:r>
        <w:rPr>
          <w:rFonts w:ascii="Times New Roman" w:hAnsi="Times New Roman" w:eastAsia="Times New Roman" w:cs="Times New Roman"/>
          <w:b/>
          <w:bCs/>
          <w:color w:val="000000" w:themeColor="text1"/>
          <w:kern w:val="36"/>
          <w:sz w:val="40"/>
          <w:szCs w:val="40"/>
          <w:lang w:eastAsia="ru-RU"/>
          <w14:textFill>
            <w14:solidFill>
              <w14:schemeClr w14:val="tx1"/>
            </w14:solidFill>
          </w14:textFill>
        </w:rPr>
        <w:t>«Игра в жизни семьи</w:t>
      </w:r>
      <w:r>
        <w:rPr>
          <w:rFonts w:hint="default" w:ascii="Times New Roman" w:hAnsi="Times New Roman" w:eastAsia="Times New Roman" w:cs="Times New Roman"/>
          <w:b/>
          <w:bCs/>
          <w:color w:val="000000" w:themeColor="text1"/>
          <w:kern w:val="36"/>
          <w:sz w:val="40"/>
          <w:szCs w:val="40"/>
          <w:lang w:val="en-US" w:eastAsia="ru-RU"/>
          <w14:textFill>
            <w14:solidFill>
              <w14:schemeClr w14:val="tx1"/>
            </w14:solidFill>
          </w14:textFill>
        </w:rPr>
        <w:t>»</w:t>
      </w:r>
    </w:p>
    <w:p w14:paraId="0AB53014">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bookmarkStart w:id="0" w:name="_GoBack"/>
      <w:r>
        <w:rPr>
          <w:rFonts w:hint="default" w:ascii="Times New Roman" w:hAnsi="Times New Roman" w:eastAsia="Times New Roman" w:cs="Times New Roman"/>
          <w:color w:val="000000"/>
          <w:sz w:val="28"/>
          <w:szCs w:val="28"/>
          <w:lang w:eastAsia="ru-RU"/>
        </w:rPr>
        <w:t>Еще в прошлом веке «Азбука семейной жизни» предупреждала молодых родителей о том, что ребенок, который не доиграл в детстве, будет неважным учеником в школе, нетворческой личностью, будет испытывать трудности в налаживании контактов, сотрудничестве с другими людьми.</w:t>
      </w:r>
    </w:p>
    <w:p w14:paraId="2F50DF45">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 Можно сказать, что игра для малыша —  это машина времени: она дает ему возможность пожить той жизнью, которая ему предстоит через много лет. «Каков ребенок в игре, таков во многом он будет в работе, когда вырастет» - говорил великий педагог Антон Семенович Макаренко.</w:t>
      </w:r>
    </w:p>
    <w:p w14:paraId="3456677A">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Возможности игры огромны, они: </w:t>
      </w:r>
    </w:p>
    <w:p w14:paraId="6CF25066">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развивают познавательные процессы личности — внимание, память, восприятие, мышление, воображение;</w:t>
      </w:r>
    </w:p>
    <w:p w14:paraId="47BDD9A6">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тренируют наблюдательность и ум;</w:t>
      </w:r>
    </w:p>
    <w:p w14:paraId="0645165C">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развивают творческие способности детей;</w:t>
      </w:r>
    </w:p>
    <w:p w14:paraId="7B82C592">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формируют эмоционально-чувственную сферу личности дошкольника;</w:t>
      </w:r>
    </w:p>
    <w:p w14:paraId="5BDA7BA4">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способствуют познанию ребенком самого себя и побуждают его к самосовершенствованию;</w:t>
      </w:r>
    </w:p>
    <w:p w14:paraId="4F2373CB">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учат самодисциплине, настойчивости, выдержке — всем тем волевым качествам, без которых трудно будет учиться, жить и достигать поставленных целей и задач.</w:t>
      </w:r>
    </w:p>
    <w:p w14:paraId="03E2F228">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Очень большое значение игра имеет и при подготовке детей к школе. Готовя ребенка к школе родители должны учитывать психолого-педагогическую ценность игр и игрушек для  этой цели, заботиться о том,  чтобы дома было место для игры и хранения игрушек, - это поможет приучить ребенка к бережливости и аккуратности. При этом им необходимо наблюдать за играми дошкольника, обращать внимание на то, кого он изображает, разнообразны ли сюжеты игр, умеет ли ребенок придумывать новые интересные сюжеты, выполняет ли правила игры. Именно в процессе игры происходит формирование личностной готовности дошкольника к обучению. Разнообразное содержание развивающих игр (сюжетно-ролевых или дидактических) позволяет родителям в домашних условиях реализовать интеллектуальное направление ребенка по подготовке к школе.</w:t>
      </w:r>
    </w:p>
    <w:p w14:paraId="4E4B088B">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14:paraId="3C759656">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p>
    <w:p w14:paraId="77BC5465">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p>
    <w:p w14:paraId="65596784">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p>
    <w:p w14:paraId="7A78D2D3">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Каждая игра предполагает какой-то результат, обучение чему-то, развитие чего-то.  </w:t>
      </w:r>
    </w:p>
    <w:p w14:paraId="4BFB0BE4">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Используйте в играх с детьми фольклор: потешки, прибаутки, считалки, скороговорки, загадки, пословицы, сказки.</w:t>
      </w:r>
    </w:p>
    <w:p w14:paraId="37BB253F">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Это сокровищница русской народной речи и мудрости.</w:t>
      </w:r>
    </w:p>
    <w:p w14:paraId="13AA165C">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Не забывайте о подвижных и спортивных играх. Они развивают не только силу, ловкость и другие физические качества, но и внимание, мышление, воображение.</w:t>
      </w:r>
    </w:p>
    <w:p w14:paraId="23485A08">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Значительную часть времени мамы проводят на кухне. Постарайтесь использовать это время для общения с ребенком. Например, параллельно готовя, предложите поиграть в игры  «Большой — маленький», «Какого цвета», «Придумай слово»;  сочинить с вами сказку, сосчитать предметы на кухне, придумать задачу, посоревноваться в скороговорках и т. д.</w:t>
      </w:r>
    </w:p>
    <w:p w14:paraId="1F3EA998">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Научитесь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правильность  их выбора.</w:t>
      </w:r>
    </w:p>
    <w:p w14:paraId="404EFEBF">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Прививайте детям любовь к игровым развлечениям — кроссвордам, головоломкам, шарадам, ребусам. Они расширяют кругозор, развивают находчивость, смекалку, тренируют ум.</w:t>
      </w:r>
    </w:p>
    <w:p w14:paraId="55E95457">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Обогащайте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14:paraId="6FE990CE">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  Вместе с детьми изучайте историю семьи, своей фамилии. Превратите это в увлекательную игру создания своей родословной.</w:t>
      </w:r>
    </w:p>
    <w:p w14:paraId="5F14F571">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Одна из важных задач родителя —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14:paraId="6A4166F3">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14:paraId="14CB994C">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p>
    <w:p w14:paraId="0949F28E">
      <w:pPr>
        <w:shd w:val="clear" w:color="auto" w:fill="FFFFFF"/>
        <w:spacing w:after="120" w:line="312" w:lineRule="atLeast"/>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 в заключении хочется вспомнить предупреждение мудрого В.Даля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14:paraId="714AC67D">
      <w:pPr>
        <w:jc w:val="left"/>
        <w:rPr>
          <w:rFonts w:hint="default" w:ascii="Times New Roman" w:hAnsi="Times New Roman" w:cs="Times New Roman"/>
          <w:sz w:val="28"/>
          <w:szCs w:val="28"/>
        </w:rPr>
      </w:pPr>
    </w:p>
    <w:bookmarkEnd w:id="0"/>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Sitka Banner">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Yu Gothic Light">
    <w:panose1 w:val="020B03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96"/>
    <w:rsid w:val="00280996"/>
    <w:rsid w:val="0068524E"/>
    <w:rsid w:val="00F50F41"/>
    <w:rsid w:val="1B6D62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757</Words>
  <Characters>4318</Characters>
  <Lines>35</Lines>
  <Paragraphs>10</Paragraphs>
  <TotalTime>11</TotalTime>
  <ScaleCrop>false</ScaleCrop>
  <LinksUpToDate>false</LinksUpToDate>
  <CharactersWithSpaces>5065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2019-12-13T05:32:00Z</dcterms:created>
  <dc:creator>шакирзянова татьяна</dc:creator>
  <cp:lastModifiedBy>Юлия</cp:lastModifiedBy>
  <dcterms:modified xsi:type="dcterms:W3CDTF">2025-02-26T11:15:17Z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FCC44CC5983A4A5A922832A8296576BD_12</vt:lpwstr>
  </property>
</Properties>
</file>